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3B719" w14:textId="77777777" w:rsidR="00BC203A" w:rsidRDefault="005B35E4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中国城市轨道交通协会标准制修订管理</w:t>
      </w:r>
    </w:p>
    <w:p w14:paraId="2853F7E6" w14:textId="77777777" w:rsidR="00BC203A" w:rsidRDefault="005B35E4">
      <w:pPr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实施细则的补充规定（试行）</w:t>
      </w:r>
    </w:p>
    <w:p w14:paraId="385A06C6" w14:textId="77777777" w:rsidR="00BC203A" w:rsidRDefault="00BC203A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14:paraId="70C2BA0F" w14:textId="77777777" w:rsidR="00BC203A" w:rsidRDefault="005B35E4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为满足市场和创新需要，聚焦新技术、新产业、新业态、新制式和新模式，提升中国城市轨道交通协会（以下简称</w:t>
      </w:r>
      <w:r>
        <w:rPr>
          <w:rFonts w:ascii="仿宋_GB2312" w:eastAsia="仿宋_GB2312" w:hAnsi="仿宋_GB2312" w:cs="仿宋_GB2312" w:hint="eastAsia"/>
          <w:sz w:val="30"/>
          <w:szCs w:val="30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协会）团体标准的技术引领作用，依据《中华人民共和国标准化法》、《团体标准管理规定》</w:t>
      </w:r>
      <w:r>
        <w:rPr>
          <w:rFonts w:ascii="仿宋_GB2312" w:eastAsia="仿宋_GB2312" w:hAnsi="仿宋_GB2312" w:cs="仿宋_GB2312" w:hint="eastAsia"/>
          <w:sz w:val="30"/>
          <w:szCs w:val="30"/>
        </w:rPr>
        <w:t>和</w:t>
      </w:r>
      <w:r>
        <w:rPr>
          <w:rFonts w:ascii="仿宋_GB2312" w:eastAsia="仿宋_GB2312" w:hAnsi="仿宋_GB2312" w:cs="仿宋_GB2312" w:hint="eastAsia"/>
          <w:sz w:val="30"/>
          <w:szCs w:val="30"/>
        </w:rPr>
        <w:t>《中国城市轨道交通协会团体标准管理办法》等规定，结合协会团体标准制修订工作的实际需求，为规范管理，对《中国城市轨道交通协会标准制修订管理实施细则》提出以下补充规定。</w:t>
      </w:r>
    </w:p>
    <w:p w14:paraId="7968D35F" w14:textId="77777777" w:rsidR="00BC203A" w:rsidRDefault="005B35E4">
      <w:pPr>
        <w:numPr>
          <w:ilvl w:val="0"/>
          <w:numId w:val="1"/>
        </w:numPr>
        <w:tabs>
          <w:tab w:val="clear" w:pos="420"/>
          <w:tab w:val="left" w:pos="0"/>
        </w:tabs>
        <w:ind w:left="5" w:firstLine="63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由协会</w:t>
      </w:r>
      <w:r>
        <w:rPr>
          <w:rFonts w:ascii="仿宋_GB2312" w:eastAsia="仿宋_GB2312" w:hAnsi="仿宋_GB2312" w:cs="仿宋_GB2312" w:hint="eastAsia"/>
          <w:sz w:val="30"/>
          <w:szCs w:val="30"/>
        </w:rPr>
        <w:t>秘书处各部室、所属各分支机构或相关单位</w:t>
      </w:r>
      <w:r>
        <w:rPr>
          <w:rFonts w:ascii="仿宋_GB2312" w:eastAsia="仿宋_GB2312" w:hAnsi="仿宋_GB2312" w:cs="仿宋_GB2312" w:hint="eastAsia"/>
          <w:sz w:val="30"/>
          <w:szCs w:val="30"/>
        </w:rPr>
        <w:t>根据团体标准体系及行业需求提出的</w:t>
      </w:r>
      <w:r>
        <w:rPr>
          <w:rFonts w:ascii="仿宋_GB2312" w:eastAsia="仿宋_GB2312" w:hAnsi="仿宋_GB2312" w:cs="仿宋_GB2312" w:hint="eastAsia"/>
          <w:sz w:val="30"/>
          <w:szCs w:val="30"/>
        </w:rPr>
        <w:t>团体标准待编</w:t>
      </w:r>
      <w:r>
        <w:rPr>
          <w:rFonts w:ascii="仿宋_GB2312" w:eastAsia="仿宋_GB2312" w:hAnsi="仿宋_GB2312" w:cs="仿宋_GB2312" w:hint="eastAsia"/>
          <w:sz w:val="30"/>
          <w:szCs w:val="30"/>
        </w:rPr>
        <w:t>项目</w:t>
      </w:r>
      <w:r>
        <w:rPr>
          <w:rFonts w:ascii="仿宋_GB2312" w:eastAsia="仿宋_GB2312" w:hAnsi="仿宋_GB2312" w:cs="仿宋_GB2312" w:hint="eastAsia"/>
          <w:sz w:val="30"/>
          <w:szCs w:val="30"/>
        </w:rPr>
        <w:t>清单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经协会标准管理部门分析研究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并经协会</w:t>
      </w:r>
      <w:r>
        <w:rPr>
          <w:rFonts w:ascii="仿宋_GB2312" w:eastAsia="仿宋_GB2312" w:hAnsi="仿宋_GB2312" w:cs="仿宋_GB2312" w:hint="eastAsia"/>
          <w:sz w:val="30"/>
          <w:szCs w:val="30"/>
        </w:rPr>
        <w:t>办公会</w:t>
      </w:r>
      <w:r>
        <w:rPr>
          <w:rFonts w:ascii="仿宋_GB2312" w:eastAsia="仿宋_GB2312" w:hAnsi="仿宋_GB2312" w:cs="仿宋_GB2312" w:hint="eastAsia"/>
          <w:sz w:val="30"/>
          <w:szCs w:val="30"/>
        </w:rPr>
        <w:t>批准后</w:t>
      </w:r>
      <w:r>
        <w:rPr>
          <w:rFonts w:ascii="仿宋_GB2312" w:eastAsia="仿宋_GB2312" w:hAnsi="仿宋_GB2312" w:cs="仿宋_GB2312" w:hint="eastAsia"/>
          <w:sz w:val="30"/>
          <w:szCs w:val="30"/>
        </w:rPr>
        <w:t>，</w:t>
      </w:r>
      <w:r>
        <w:rPr>
          <w:rFonts w:ascii="仿宋_GB2312" w:eastAsia="仿宋_GB2312" w:hAnsi="仿宋_GB2312" w:cs="仿宋_GB2312" w:hint="eastAsia"/>
          <w:sz w:val="30"/>
          <w:szCs w:val="30"/>
        </w:rPr>
        <w:t>形成</w:t>
      </w:r>
      <w:r>
        <w:rPr>
          <w:rFonts w:ascii="仿宋_GB2312" w:eastAsia="仿宋_GB2312" w:hAnsi="仿宋_GB2312" w:cs="仿宋_GB2312" w:hint="eastAsia"/>
          <w:sz w:val="30"/>
          <w:szCs w:val="30"/>
        </w:rPr>
        <w:t>自上而下</w:t>
      </w:r>
      <w:r>
        <w:rPr>
          <w:rFonts w:ascii="仿宋_GB2312" w:eastAsia="仿宋_GB2312" w:hAnsi="仿宋_GB2312" w:cs="仿宋_GB2312" w:hint="eastAsia"/>
          <w:sz w:val="30"/>
          <w:szCs w:val="30"/>
        </w:rPr>
        <w:t>的</w:t>
      </w:r>
      <w:r>
        <w:rPr>
          <w:rFonts w:ascii="仿宋_GB2312" w:eastAsia="仿宋_GB2312" w:hAnsi="仿宋_GB2312" w:cs="仿宋_GB2312" w:hint="eastAsia"/>
          <w:sz w:val="30"/>
          <w:szCs w:val="30"/>
        </w:rPr>
        <w:t>团体标准项目</w:t>
      </w:r>
      <w:r>
        <w:rPr>
          <w:rFonts w:ascii="仿宋_GB2312" w:eastAsia="仿宋_GB2312" w:hAnsi="仿宋_GB2312" w:cs="仿宋_GB2312" w:hint="eastAsia"/>
          <w:sz w:val="30"/>
          <w:szCs w:val="30"/>
        </w:rPr>
        <w:t>提案。</w:t>
      </w:r>
    </w:p>
    <w:p w14:paraId="4581E284" w14:textId="77777777" w:rsidR="00BC203A" w:rsidRDefault="005B35E4">
      <w:pPr>
        <w:numPr>
          <w:ilvl w:val="0"/>
          <w:numId w:val="1"/>
        </w:numPr>
        <w:tabs>
          <w:tab w:val="clear" w:pos="420"/>
          <w:tab w:val="left" w:pos="0"/>
        </w:tabs>
        <w:ind w:left="5" w:firstLine="63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自上而下的提案属于基础通用、综合类的可由标准化技术委员会（代号</w:t>
      </w:r>
      <w:r>
        <w:rPr>
          <w:rFonts w:ascii="仿宋_GB2312" w:eastAsia="仿宋_GB2312" w:hAnsi="仿宋_GB2312" w:cs="仿宋_GB2312" w:hint="eastAsia"/>
          <w:sz w:val="30"/>
          <w:szCs w:val="30"/>
        </w:rPr>
        <w:t>TC</w:t>
      </w:r>
      <w:r>
        <w:rPr>
          <w:rFonts w:ascii="仿宋_GB2312" w:eastAsia="仿宋_GB2312" w:hAnsi="仿宋_GB2312" w:cs="仿宋_GB2312" w:hint="eastAsia"/>
          <w:sz w:val="30"/>
          <w:szCs w:val="30"/>
        </w:rPr>
        <w:t>）直接负责标准的制修订管理及发布后的标准维护工作；属于现有各分技术委员会（代号</w:t>
      </w:r>
      <w:r>
        <w:rPr>
          <w:rFonts w:ascii="仿宋_GB2312" w:eastAsia="仿宋_GB2312" w:hAnsi="仿宋_GB2312" w:cs="仿宋_GB2312" w:hint="eastAsia"/>
          <w:sz w:val="30"/>
          <w:szCs w:val="30"/>
        </w:rPr>
        <w:t>SC</w:t>
      </w:r>
      <w:r>
        <w:rPr>
          <w:rFonts w:ascii="仿宋_GB2312" w:eastAsia="仿宋_GB2312" w:hAnsi="仿宋_GB2312" w:cs="仿宋_GB2312" w:hint="eastAsia"/>
          <w:sz w:val="30"/>
          <w:szCs w:val="30"/>
        </w:rPr>
        <w:t>）</w:t>
      </w:r>
      <w:r>
        <w:rPr>
          <w:rFonts w:ascii="仿宋_GB2312" w:eastAsia="仿宋_GB2312" w:hAnsi="仿宋_GB2312" w:cs="仿宋_GB2312" w:hint="eastAsia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分支机构</w:t>
      </w:r>
      <w:r>
        <w:rPr>
          <w:rFonts w:ascii="仿宋_GB2312" w:eastAsia="仿宋_GB2312" w:hAnsi="仿宋_GB2312" w:cs="仿宋_GB2312" w:hint="eastAsia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相关单位专业范围的，由相应</w:t>
      </w:r>
      <w:r>
        <w:rPr>
          <w:rFonts w:ascii="仿宋_GB2312" w:eastAsia="仿宋_GB2312" w:hAnsi="仿宋_GB2312" w:cs="仿宋_GB2312" w:hint="eastAsia"/>
          <w:sz w:val="30"/>
          <w:szCs w:val="30"/>
        </w:rPr>
        <w:t>SC/</w:t>
      </w:r>
      <w:r>
        <w:rPr>
          <w:rFonts w:ascii="仿宋_GB2312" w:eastAsia="仿宋_GB2312" w:hAnsi="仿宋_GB2312" w:cs="仿宋_GB2312" w:hint="eastAsia"/>
          <w:sz w:val="30"/>
          <w:szCs w:val="30"/>
        </w:rPr>
        <w:t>分支机构</w:t>
      </w:r>
      <w:r>
        <w:rPr>
          <w:rFonts w:ascii="仿宋_GB2312" w:eastAsia="仿宋_GB2312" w:hAnsi="仿宋_GB2312" w:cs="仿宋_GB2312" w:hint="eastAsia"/>
          <w:sz w:val="30"/>
          <w:szCs w:val="30"/>
        </w:rPr>
        <w:t>/</w:t>
      </w:r>
      <w:r>
        <w:rPr>
          <w:rFonts w:ascii="仿宋_GB2312" w:eastAsia="仿宋_GB2312" w:hAnsi="仿宋_GB2312" w:cs="仿宋_GB2312" w:hint="eastAsia"/>
          <w:sz w:val="30"/>
          <w:szCs w:val="30"/>
        </w:rPr>
        <w:t>相关单位负责标准的制修订管理及发布后的标准维护工作。</w:t>
      </w:r>
    </w:p>
    <w:p w14:paraId="22DBB74C" w14:textId="77777777" w:rsidR="00BC203A" w:rsidRDefault="005B35E4">
      <w:pPr>
        <w:numPr>
          <w:ilvl w:val="0"/>
          <w:numId w:val="1"/>
        </w:numPr>
        <w:tabs>
          <w:tab w:val="clear" w:pos="420"/>
          <w:tab w:val="left" w:pos="0"/>
        </w:tabs>
        <w:ind w:left="5" w:firstLine="63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自上而下的提案属于城市轨道交通行业重点发展领域，是属于新技术、新产业、新业态、新制式、新模式，是行业技术具有引领作用的提案，且由提出单位提交保密需求申请的，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经标准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管理部门审核、协会批准同意，可在提案评估、立项评估、编制过程中按专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有程</w:t>
      </w:r>
      <w:r>
        <w:rPr>
          <w:rFonts w:ascii="仿宋_GB2312" w:eastAsia="仿宋_GB2312" w:hAnsi="仿宋_GB2312" w:cs="仿宋_GB2312" w:hint="eastAsia"/>
          <w:sz w:val="30"/>
          <w:szCs w:val="30"/>
        </w:rPr>
        <w:t>序处理，参与标准编制过程的人员均需签订保密协议，标准发布后按《中国城市轨道交通协会团体标准管理办法》、《中国城市轨道交通协会标准制修订管理实施细则》的规定执行。</w:t>
      </w:r>
    </w:p>
    <w:p w14:paraId="6213B42D" w14:textId="77777777" w:rsidR="00BC203A" w:rsidRDefault="005B35E4">
      <w:pPr>
        <w:numPr>
          <w:ilvl w:val="0"/>
          <w:numId w:val="1"/>
        </w:numPr>
        <w:tabs>
          <w:tab w:val="clear" w:pos="420"/>
          <w:tab w:val="left" w:pos="0"/>
        </w:tabs>
        <w:ind w:left="5" w:firstLine="63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对于有保密需求的项目，按标准制修订流程中的专有程序要求（见表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）执行。表</w:t>
      </w:r>
      <w:r>
        <w:rPr>
          <w:rFonts w:ascii="仿宋_GB2312" w:eastAsia="仿宋_GB2312" w:hAnsi="仿宋_GB2312" w:cs="仿宋_GB2312" w:hint="eastAsia"/>
          <w:sz w:val="30"/>
          <w:szCs w:val="30"/>
        </w:rPr>
        <w:t>1</w:t>
      </w:r>
      <w:r>
        <w:rPr>
          <w:rFonts w:ascii="仿宋_GB2312" w:eastAsia="仿宋_GB2312" w:hAnsi="仿宋_GB2312" w:cs="仿宋_GB2312" w:hint="eastAsia"/>
          <w:sz w:val="30"/>
          <w:szCs w:val="30"/>
        </w:rPr>
        <w:t>中未规定的内容应按照《中国城市轨道交通协会团体标准管理办法》、《中国城市轨道交通协会标准制修订管理实施细则》的规定执行。</w:t>
      </w:r>
    </w:p>
    <w:p w14:paraId="28F40CD3" w14:textId="77777777" w:rsidR="00BC203A" w:rsidRDefault="005B35E4">
      <w:pPr>
        <w:tabs>
          <w:tab w:val="left" w:pos="0"/>
        </w:tabs>
        <w:jc w:val="center"/>
        <w:rPr>
          <w:rFonts w:ascii="仿宋_GB2312" w:eastAsia="仿宋_GB2312" w:hAnsi="仿宋_GB2312" w:cs="仿宋_GB2312"/>
          <w:b/>
          <w:bCs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表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 xml:space="preserve">1  </w:t>
      </w:r>
      <w:r>
        <w:rPr>
          <w:rFonts w:ascii="仿宋_GB2312" w:eastAsia="仿宋_GB2312" w:hAnsi="仿宋_GB2312" w:cs="仿宋_GB2312" w:hint="eastAsia"/>
          <w:b/>
          <w:bCs/>
          <w:sz w:val="30"/>
          <w:szCs w:val="30"/>
        </w:rPr>
        <w:t>标准制修订流程中的专有程序要求</w:t>
      </w:r>
    </w:p>
    <w:tbl>
      <w:tblPr>
        <w:tblW w:w="498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"/>
        <w:gridCol w:w="2060"/>
        <w:gridCol w:w="4570"/>
        <w:gridCol w:w="1433"/>
      </w:tblGrid>
      <w:tr w:rsidR="00BC203A" w14:paraId="55BDB2AC" w14:textId="77777777">
        <w:trPr>
          <w:trHeight w:val="850"/>
          <w:tblHeader/>
          <w:jc w:val="center"/>
        </w:trPr>
        <w:tc>
          <w:tcPr>
            <w:tcW w:w="413" w:type="pc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9CB266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6"/>
                <w:kern w:val="0"/>
                <w:sz w:val="24"/>
              </w:rPr>
              <w:t>序号</w:t>
            </w:r>
          </w:p>
        </w:tc>
        <w:tc>
          <w:tcPr>
            <w:tcW w:w="1171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4D24A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6"/>
                <w:kern w:val="0"/>
                <w:sz w:val="24"/>
              </w:rPr>
              <w:t>标准制修订阶段</w:t>
            </w:r>
          </w:p>
        </w:tc>
        <w:tc>
          <w:tcPr>
            <w:tcW w:w="2598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4358D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6"/>
                <w:kern w:val="0"/>
                <w:sz w:val="24"/>
              </w:rPr>
              <w:t>专有程序要求</w:t>
            </w:r>
          </w:p>
        </w:tc>
        <w:tc>
          <w:tcPr>
            <w:tcW w:w="815" w:type="pct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177745CE" w14:textId="77777777" w:rsidR="00BC203A" w:rsidRDefault="005B35E4">
            <w:pPr>
              <w:overflowPunct w:val="0"/>
              <w:jc w:val="center"/>
              <w:rPr>
                <w:rFonts w:ascii="仿宋_GB2312" w:eastAsia="仿宋_GB2312" w:hAnsi="仿宋_GB2312" w:cs="仿宋_GB2312"/>
                <w:b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6"/>
                <w:kern w:val="0"/>
                <w:sz w:val="24"/>
              </w:rPr>
              <w:t>备注</w:t>
            </w:r>
          </w:p>
        </w:tc>
      </w:tr>
      <w:tr w:rsidR="00BC203A" w14:paraId="4C1E79E3" w14:textId="77777777">
        <w:trPr>
          <w:trHeight w:val="850"/>
          <w:jc w:val="center"/>
        </w:trPr>
        <w:tc>
          <w:tcPr>
            <w:tcW w:w="4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7C4B38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1</w:t>
            </w:r>
          </w:p>
        </w:tc>
        <w:tc>
          <w:tcPr>
            <w:tcW w:w="1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EA245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提案阶段</w:t>
            </w:r>
          </w:p>
        </w:tc>
        <w:tc>
          <w:tcPr>
            <w:tcW w:w="2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425BB" w14:textId="77777777" w:rsidR="00BC203A" w:rsidRDefault="005B35E4">
            <w:pPr>
              <w:overflowPunct w:val="0"/>
              <w:spacing w:line="300" w:lineRule="auto"/>
              <w:jc w:val="left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以会审形式对提案进行评估，参会专家需签订保密协议，评估材料回收处理。</w:t>
            </w:r>
          </w:p>
        </w:tc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DA849A7" w14:textId="77777777" w:rsidR="00BC203A" w:rsidRDefault="00BC203A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</w:p>
        </w:tc>
      </w:tr>
      <w:tr w:rsidR="00BC203A" w14:paraId="150E7CE9" w14:textId="77777777">
        <w:trPr>
          <w:trHeight w:val="850"/>
          <w:jc w:val="center"/>
        </w:trPr>
        <w:tc>
          <w:tcPr>
            <w:tcW w:w="4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36DAB9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2</w:t>
            </w:r>
          </w:p>
        </w:tc>
        <w:tc>
          <w:tcPr>
            <w:tcW w:w="1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BC34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立项阶段</w:t>
            </w:r>
          </w:p>
        </w:tc>
        <w:tc>
          <w:tcPr>
            <w:tcW w:w="2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4DFE4A" w14:textId="77777777" w:rsidR="00BC203A" w:rsidRDefault="005B35E4">
            <w:pPr>
              <w:overflowPunct w:val="0"/>
              <w:spacing w:line="300" w:lineRule="auto"/>
              <w:jc w:val="left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以会审形式对提案进行评估，参会人员需签订保密协议，评估材料回收处理。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参会委员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代表不低于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人，相关专家代表不低于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人，总人数为单数。</w:t>
            </w:r>
          </w:p>
        </w:tc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2C215033" w14:textId="77777777" w:rsidR="00BC203A" w:rsidRDefault="00BC203A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</w:p>
        </w:tc>
      </w:tr>
      <w:tr w:rsidR="00BC203A" w14:paraId="4933E4D4" w14:textId="77777777">
        <w:trPr>
          <w:trHeight w:val="850"/>
          <w:jc w:val="center"/>
        </w:trPr>
        <w:tc>
          <w:tcPr>
            <w:tcW w:w="4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DABBF3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3</w:t>
            </w:r>
          </w:p>
        </w:tc>
        <w:tc>
          <w:tcPr>
            <w:tcW w:w="1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95A27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起草阶段</w:t>
            </w:r>
          </w:p>
        </w:tc>
        <w:tc>
          <w:tcPr>
            <w:tcW w:w="2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47431" w14:textId="77777777" w:rsidR="00BC203A" w:rsidRDefault="005B35E4">
            <w:pPr>
              <w:overflowPunct w:val="0"/>
              <w:spacing w:line="300" w:lineRule="auto"/>
              <w:jc w:val="left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工作组成员需签订保密协议。</w:t>
            </w:r>
          </w:p>
        </w:tc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EDA5676" w14:textId="77777777" w:rsidR="00BC203A" w:rsidRDefault="00BC203A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</w:p>
        </w:tc>
      </w:tr>
      <w:tr w:rsidR="00BC203A" w14:paraId="63769E33" w14:textId="77777777">
        <w:trPr>
          <w:trHeight w:val="850"/>
          <w:jc w:val="center"/>
        </w:trPr>
        <w:tc>
          <w:tcPr>
            <w:tcW w:w="4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DE6B82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4</w:t>
            </w:r>
          </w:p>
        </w:tc>
        <w:tc>
          <w:tcPr>
            <w:tcW w:w="1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F59E7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征求意见阶段</w:t>
            </w:r>
          </w:p>
        </w:tc>
        <w:tc>
          <w:tcPr>
            <w:tcW w:w="2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E08A" w14:textId="77777777" w:rsidR="00BC203A" w:rsidRDefault="005B35E4">
            <w:pPr>
              <w:overflowPunct w:val="0"/>
              <w:spacing w:line="300" w:lineRule="auto"/>
              <w:jc w:val="left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协会对标准征求意见稿、编制说明等相关材料向各相关方定向公开征求意见，征求意见的期限不少于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15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日。参与人员需签订保密协议，征求意见材料回收处理。</w:t>
            </w:r>
          </w:p>
        </w:tc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4D8ADE15" w14:textId="77777777" w:rsidR="00BC203A" w:rsidRDefault="00BC203A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</w:p>
        </w:tc>
      </w:tr>
      <w:tr w:rsidR="00BC203A" w14:paraId="1487EB2D" w14:textId="77777777">
        <w:trPr>
          <w:trHeight w:val="850"/>
          <w:jc w:val="center"/>
        </w:trPr>
        <w:tc>
          <w:tcPr>
            <w:tcW w:w="4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89FEACF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5</w:t>
            </w:r>
          </w:p>
        </w:tc>
        <w:tc>
          <w:tcPr>
            <w:tcW w:w="1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FF0B4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审查阶段</w:t>
            </w:r>
          </w:p>
        </w:tc>
        <w:tc>
          <w:tcPr>
            <w:tcW w:w="2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D347" w14:textId="77777777" w:rsidR="00BC203A" w:rsidRDefault="005B35E4">
            <w:pPr>
              <w:overflowPunct w:val="0"/>
              <w:spacing w:line="300" w:lineRule="auto"/>
              <w:jc w:val="left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初审或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TC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审查以会审形式进行，参会专家需签订保密协议，审查材料回收处理，</w:t>
            </w:r>
            <w:proofErr w:type="gramStart"/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参会委员</w:t>
            </w:r>
            <w:proofErr w:type="gramEnd"/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代表不低于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10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人，相关专家代表不低于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5</w:t>
            </w: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人，总人数为单数。</w:t>
            </w:r>
          </w:p>
        </w:tc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38D312E0" w14:textId="77777777" w:rsidR="00BC203A" w:rsidRDefault="00BC203A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</w:p>
        </w:tc>
      </w:tr>
      <w:tr w:rsidR="00BC203A" w14:paraId="74295788" w14:textId="77777777">
        <w:trPr>
          <w:trHeight w:val="850"/>
          <w:jc w:val="center"/>
        </w:trPr>
        <w:tc>
          <w:tcPr>
            <w:tcW w:w="4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55E1FC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6</w:t>
            </w:r>
          </w:p>
        </w:tc>
        <w:tc>
          <w:tcPr>
            <w:tcW w:w="1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B42B6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批准、编号和发布阶段</w:t>
            </w:r>
          </w:p>
        </w:tc>
        <w:tc>
          <w:tcPr>
            <w:tcW w:w="2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CB0280" w14:textId="77777777" w:rsidR="00BC203A" w:rsidRDefault="005B35E4">
            <w:pPr>
              <w:overflowPunct w:val="0"/>
              <w:spacing w:line="300" w:lineRule="auto"/>
              <w:jc w:val="left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/</w:t>
            </w:r>
          </w:p>
        </w:tc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92BE629" w14:textId="77777777" w:rsidR="00BC203A" w:rsidRDefault="00BC203A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</w:p>
        </w:tc>
      </w:tr>
      <w:tr w:rsidR="00BC203A" w14:paraId="719E295E" w14:textId="77777777">
        <w:trPr>
          <w:trHeight w:val="850"/>
          <w:jc w:val="center"/>
        </w:trPr>
        <w:tc>
          <w:tcPr>
            <w:tcW w:w="4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0FF5CA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lastRenderedPageBreak/>
              <w:t>7</w:t>
            </w:r>
          </w:p>
        </w:tc>
        <w:tc>
          <w:tcPr>
            <w:tcW w:w="1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2A1E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出版阶段</w:t>
            </w:r>
          </w:p>
        </w:tc>
        <w:tc>
          <w:tcPr>
            <w:tcW w:w="2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6B62" w14:textId="77777777" w:rsidR="00BC203A" w:rsidRDefault="005B35E4">
            <w:pPr>
              <w:overflowPunct w:val="0"/>
              <w:spacing w:line="300" w:lineRule="auto"/>
              <w:jc w:val="left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/</w:t>
            </w:r>
          </w:p>
        </w:tc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614D6810" w14:textId="77777777" w:rsidR="00BC203A" w:rsidRDefault="00BC203A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</w:p>
        </w:tc>
      </w:tr>
      <w:tr w:rsidR="00BC203A" w14:paraId="788B4A95" w14:textId="77777777">
        <w:trPr>
          <w:trHeight w:val="850"/>
          <w:jc w:val="center"/>
        </w:trPr>
        <w:tc>
          <w:tcPr>
            <w:tcW w:w="413" w:type="pc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A5E924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8</w:t>
            </w:r>
          </w:p>
        </w:tc>
        <w:tc>
          <w:tcPr>
            <w:tcW w:w="11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DFCCC" w14:textId="77777777" w:rsidR="00BC203A" w:rsidRDefault="005B35E4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复审阶段</w:t>
            </w:r>
          </w:p>
        </w:tc>
        <w:tc>
          <w:tcPr>
            <w:tcW w:w="259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7D51B" w14:textId="77777777" w:rsidR="00BC203A" w:rsidRDefault="005B35E4">
            <w:pPr>
              <w:overflowPunct w:val="0"/>
              <w:spacing w:line="300" w:lineRule="auto"/>
              <w:jc w:val="left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pacing w:val="6"/>
                <w:kern w:val="0"/>
                <w:sz w:val="24"/>
              </w:rPr>
              <w:t>/</w:t>
            </w:r>
          </w:p>
        </w:tc>
        <w:tc>
          <w:tcPr>
            <w:tcW w:w="81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14:paraId="0E875317" w14:textId="77777777" w:rsidR="00BC203A" w:rsidRDefault="00BC203A">
            <w:pPr>
              <w:overflowPunct w:val="0"/>
              <w:spacing w:line="300" w:lineRule="auto"/>
              <w:jc w:val="center"/>
              <w:rPr>
                <w:rFonts w:ascii="仿宋_GB2312" w:eastAsia="仿宋_GB2312" w:hAnsi="仿宋_GB2312" w:cs="仿宋_GB2312"/>
                <w:spacing w:val="6"/>
                <w:kern w:val="0"/>
                <w:sz w:val="24"/>
              </w:rPr>
            </w:pPr>
          </w:p>
        </w:tc>
      </w:tr>
    </w:tbl>
    <w:p w14:paraId="12B91CEF" w14:textId="77777777" w:rsidR="00BC203A" w:rsidRDefault="00BC203A">
      <w:pPr>
        <w:tabs>
          <w:tab w:val="left" w:pos="0"/>
        </w:tabs>
        <w:ind w:left="640"/>
        <w:rPr>
          <w:rFonts w:ascii="仿宋_GB2312" w:eastAsia="仿宋_GB2312" w:hAnsi="仿宋_GB2312" w:cs="仿宋_GB2312"/>
          <w:sz w:val="30"/>
          <w:szCs w:val="30"/>
        </w:rPr>
      </w:pPr>
    </w:p>
    <w:p w14:paraId="6297B864" w14:textId="77777777" w:rsidR="00BC203A" w:rsidRDefault="005B35E4">
      <w:pPr>
        <w:numPr>
          <w:ilvl w:val="0"/>
          <w:numId w:val="1"/>
        </w:numPr>
        <w:tabs>
          <w:tab w:val="clear" w:pos="420"/>
          <w:tab w:val="left" w:pos="0"/>
        </w:tabs>
        <w:ind w:left="5" w:firstLine="63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已在其他社会团体申报立项的团体标准提案，除双方协商联合发布团体标准外，协会不予重复立项。</w:t>
      </w:r>
    </w:p>
    <w:p w14:paraId="7189BDAD" w14:textId="77777777" w:rsidR="00BC203A" w:rsidRDefault="005B35E4">
      <w:pPr>
        <w:numPr>
          <w:ilvl w:val="0"/>
          <w:numId w:val="1"/>
        </w:numPr>
        <w:tabs>
          <w:tab w:val="clear" w:pos="420"/>
          <w:tab w:val="left" w:pos="0"/>
        </w:tabs>
        <w:ind w:left="5" w:firstLine="635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协会与其他社会团体联合发布团体标准时，按主次分工分两种情况处理。</w:t>
      </w:r>
    </w:p>
    <w:p w14:paraId="4C3E7E86" w14:textId="77777777" w:rsidR="00BC203A" w:rsidRDefault="005B35E4">
      <w:pPr>
        <w:numPr>
          <w:ilvl w:val="0"/>
          <w:numId w:val="2"/>
        </w:numPr>
        <w:tabs>
          <w:tab w:val="left" w:pos="0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编制工作以协会为主。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按协会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标准制修订流程的规定执行，各阶段的主要工作会议邀请联合方参会，在征求意见阶段，协会与联合方同时公开征求意见，标准送审审查时，协会与联合方共同审查或分别审查，通过审查后编制工作组根据各方报批要求分别提供报批材料，协会批准后，各方共同签发团体标准发布公告，协会组织出版印刷，各方共同组织标准宣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贯培训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工作，协会主要负责标准的解释工作。</w:t>
      </w:r>
    </w:p>
    <w:p w14:paraId="1488AB15" w14:textId="77777777" w:rsidR="00BC203A" w:rsidRDefault="005B35E4">
      <w:pPr>
        <w:numPr>
          <w:ilvl w:val="0"/>
          <w:numId w:val="2"/>
        </w:numPr>
        <w:tabs>
          <w:tab w:val="left" w:pos="0"/>
        </w:tabs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编制工作以联合方为主，协会为辅。按联合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方标准制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修订流程的规定执行，协会自双方达成联合共识之后参与标准编制过程，协会与联合方同时公开征求意见，标准送审审查时，</w:t>
      </w:r>
      <w:r>
        <w:rPr>
          <w:rFonts w:ascii="仿宋_GB2312" w:eastAsia="仿宋_GB2312" w:hAnsi="仿宋_GB2312" w:cs="仿宋_GB2312" w:hint="eastAsia"/>
          <w:sz w:val="30"/>
          <w:szCs w:val="30"/>
        </w:rPr>
        <w:t>协会与联合方共同审查或分别审查，通过审查后编制工作组根据协会报批要求提供报批材料，协会批准后，各方共同签发团体标准发布公告，联合方负责组织出版印刷，各方共同组织标准宣</w:t>
      </w:r>
      <w:proofErr w:type="gramStart"/>
      <w:r>
        <w:rPr>
          <w:rFonts w:ascii="仿宋_GB2312" w:eastAsia="仿宋_GB2312" w:hAnsi="仿宋_GB2312" w:cs="仿宋_GB2312" w:hint="eastAsia"/>
          <w:sz w:val="30"/>
          <w:szCs w:val="30"/>
        </w:rPr>
        <w:t>贯培训</w:t>
      </w:r>
      <w:proofErr w:type="gramEnd"/>
      <w:r>
        <w:rPr>
          <w:rFonts w:ascii="仿宋_GB2312" w:eastAsia="仿宋_GB2312" w:hAnsi="仿宋_GB2312" w:cs="仿宋_GB2312" w:hint="eastAsia"/>
          <w:sz w:val="30"/>
          <w:szCs w:val="30"/>
        </w:rPr>
        <w:t>工作，联合方主要负责</w:t>
      </w: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标准的解释工作。</w:t>
      </w:r>
    </w:p>
    <w:p w14:paraId="5A17F448" w14:textId="77777777" w:rsidR="00BC203A" w:rsidRDefault="005B35E4">
      <w:pPr>
        <w:numPr>
          <w:ilvl w:val="0"/>
          <w:numId w:val="1"/>
        </w:numPr>
        <w:tabs>
          <w:tab w:val="clear" w:pos="420"/>
          <w:tab w:val="left" w:pos="0"/>
        </w:tabs>
        <w:ind w:left="5" w:firstLine="63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本规定自协会批准之日起生效。</w:t>
      </w:r>
    </w:p>
    <w:p w14:paraId="64035C13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6FF030A6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6C8731C9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198DD200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70BE05B7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44EE34C4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016B23A4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0642F54B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51C8DFE4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22420228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59598854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5ACFE983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753E2F1D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6DA25448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07884BF7" w14:textId="77777777" w:rsidR="00BC203A" w:rsidRDefault="00BC203A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</w:p>
    <w:p w14:paraId="12D6F54F" w14:textId="51D7DF17" w:rsidR="00BC203A" w:rsidRDefault="00F16A01">
      <w:pPr>
        <w:ind w:rightChars="498" w:right="1046"/>
        <w:jc w:val="left"/>
        <w:rPr>
          <w:rFonts w:ascii="仿宋_GB2312" w:eastAsia="仿宋_GB2312"/>
          <w:sz w:val="30"/>
          <w:szCs w:val="3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09FAD" wp14:editId="5158AC53">
                <wp:simplePos x="0" y="0"/>
                <wp:positionH relativeFrom="column">
                  <wp:posOffset>8255</wp:posOffset>
                </wp:positionH>
                <wp:positionV relativeFrom="paragraph">
                  <wp:posOffset>354965</wp:posOffset>
                </wp:positionV>
                <wp:extent cx="5572125" cy="635"/>
                <wp:effectExtent l="18415" t="13970" r="10160" b="1397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125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6BB4A" id="Line 1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7.95pt" to="439.4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" strokeweight="1.5pt"/>
            </w:pict>
          </mc:Fallback>
        </mc:AlternateContent>
      </w:r>
    </w:p>
    <w:p w14:paraId="5B8DA27A" w14:textId="77777777" w:rsidR="00BC203A" w:rsidRDefault="005B35E4">
      <w:pPr>
        <w:spacing w:line="560" w:lineRule="exact"/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报送：协会领导</w:t>
      </w:r>
    </w:p>
    <w:p w14:paraId="639F06CC" w14:textId="77777777" w:rsidR="00BC203A" w:rsidRDefault="005B35E4">
      <w:pPr>
        <w:spacing w:line="560" w:lineRule="exact"/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印发：全体会员单位</w:t>
      </w:r>
    </w:p>
    <w:p w14:paraId="66D4B033" w14:textId="77777777" w:rsidR="00BC203A" w:rsidRDefault="005B35E4">
      <w:pPr>
        <w:spacing w:line="560" w:lineRule="exact"/>
        <w:ind w:firstLineChars="100" w:firstLine="28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抄送：秘书处各部室、所属各机构</w:t>
      </w:r>
    </w:p>
    <w:p w14:paraId="08788A8B" w14:textId="615CEA15" w:rsidR="00BC203A" w:rsidRDefault="00F16A01">
      <w:pPr>
        <w:ind w:rightChars="161" w:right="338"/>
        <w:jc w:val="left"/>
        <w:rPr>
          <w:rFonts w:ascii="仿宋_GB2312" w:eastAsia="仿宋_GB2312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A8E30" wp14:editId="215BFF46">
                <wp:simplePos x="0" y="0"/>
                <wp:positionH relativeFrom="column">
                  <wp:posOffset>8255</wp:posOffset>
                </wp:positionH>
                <wp:positionV relativeFrom="paragraph">
                  <wp:posOffset>365760</wp:posOffset>
                </wp:positionV>
                <wp:extent cx="5572760" cy="635"/>
                <wp:effectExtent l="18415" t="11430" r="9525" b="1651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CBCAE" id="Line 1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28.8pt" to="439.45pt,2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" strokeweight="1.5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FD6ED9" wp14:editId="4B662753">
                <wp:simplePos x="0" y="0"/>
                <wp:positionH relativeFrom="column">
                  <wp:posOffset>-1270</wp:posOffset>
                </wp:positionH>
                <wp:positionV relativeFrom="paragraph">
                  <wp:posOffset>26035</wp:posOffset>
                </wp:positionV>
                <wp:extent cx="5572760" cy="635"/>
                <wp:effectExtent l="8890" t="5080" r="9525" b="13335"/>
                <wp:wrapNone/>
                <wp:docPr id="1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27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E1661" id="直接连接符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2.05pt" to="438.7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"/>
            </w:pict>
          </mc:Fallback>
        </mc:AlternateContent>
      </w:r>
      <w:r w:rsidR="005B35E4">
        <w:rPr>
          <w:rFonts w:ascii="仿宋_GB2312" w:eastAsia="仿宋_GB2312"/>
          <w:sz w:val="28"/>
          <w:szCs w:val="28"/>
        </w:rPr>
        <w:t xml:space="preserve">  </w:t>
      </w:r>
      <w:r w:rsidR="005B35E4">
        <w:rPr>
          <w:rFonts w:ascii="仿宋_GB2312" w:eastAsia="仿宋_GB2312" w:hint="eastAsia"/>
          <w:sz w:val="28"/>
          <w:szCs w:val="28"/>
        </w:rPr>
        <w:t>中国城市轨道交通协会</w:t>
      </w:r>
      <w:r w:rsidR="005B35E4">
        <w:rPr>
          <w:rFonts w:ascii="仿宋_GB2312" w:eastAsia="仿宋_GB2312" w:hint="eastAsia"/>
          <w:sz w:val="28"/>
          <w:szCs w:val="28"/>
        </w:rPr>
        <w:t xml:space="preserve"> </w:t>
      </w:r>
      <w:r w:rsidR="005B35E4">
        <w:rPr>
          <w:rFonts w:ascii="仿宋_GB2312" w:eastAsia="仿宋_GB2312"/>
          <w:sz w:val="28"/>
          <w:szCs w:val="28"/>
        </w:rPr>
        <w:t xml:space="preserve">                   202</w:t>
      </w:r>
      <w:r w:rsidR="005B35E4">
        <w:rPr>
          <w:rFonts w:ascii="仿宋_GB2312" w:eastAsia="仿宋_GB2312" w:hint="eastAsia"/>
          <w:sz w:val="28"/>
          <w:szCs w:val="28"/>
        </w:rPr>
        <w:t>1</w:t>
      </w:r>
      <w:r w:rsidR="005B35E4">
        <w:rPr>
          <w:rFonts w:ascii="仿宋_GB2312" w:eastAsia="仿宋_GB2312" w:hint="eastAsia"/>
          <w:sz w:val="28"/>
          <w:szCs w:val="28"/>
        </w:rPr>
        <w:t>年</w:t>
      </w:r>
      <w:r w:rsidR="005B35E4">
        <w:rPr>
          <w:rFonts w:ascii="仿宋_GB2312" w:eastAsia="仿宋_GB2312" w:hint="eastAsia"/>
          <w:sz w:val="28"/>
          <w:szCs w:val="28"/>
        </w:rPr>
        <w:t>5</w:t>
      </w:r>
      <w:r w:rsidR="005B35E4">
        <w:rPr>
          <w:rFonts w:ascii="仿宋_GB2312" w:eastAsia="仿宋_GB2312" w:hint="eastAsia"/>
          <w:sz w:val="28"/>
          <w:szCs w:val="28"/>
        </w:rPr>
        <w:t>月</w:t>
      </w:r>
      <w:r w:rsidR="005B35E4">
        <w:rPr>
          <w:rFonts w:ascii="仿宋_GB2312" w:eastAsia="仿宋_GB2312" w:hint="eastAsia"/>
          <w:sz w:val="28"/>
          <w:szCs w:val="28"/>
        </w:rPr>
        <w:t>24</w:t>
      </w:r>
      <w:r w:rsidR="005B35E4">
        <w:rPr>
          <w:rFonts w:ascii="仿宋_GB2312" w:eastAsia="仿宋_GB2312" w:hint="eastAsia"/>
          <w:sz w:val="28"/>
          <w:szCs w:val="28"/>
        </w:rPr>
        <w:t>日印</w:t>
      </w:r>
      <w:r w:rsidR="005B35E4">
        <w:rPr>
          <w:rFonts w:ascii="仿宋_GB2312" w:eastAsia="仿宋_GB2312" w:hint="eastAsia"/>
          <w:sz w:val="28"/>
          <w:szCs w:val="28"/>
        </w:rPr>
        <w:lastRenderedPageBreak/>
        <w:t>发</w:t>
      </w:r>
    </w:p>
    <w:sectPr w:rsidR="00BC203A">
      <w:footerReference w:type="default" r:id="rId8"/>
      <w:headerReference w:type="first" r:id="rId9"/>
      <w:pgSz w:w="11906" w:h="16838"/>
      <w:pgMar w:top="1440" w:right="1531" w:bottom="1440" w:left="1531" w:header="851" w:footer="686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7FA64" w14:textId="77777777" w:rsidR="005B35E4" w:rsidRDefault="005B35E4">
      <w:r>
        <w:separator/>
      </w:r>
    </w:p>
  </w:endnote>
  <w:endnote w:type="continuationSeparator" w:id="0">
    <w:p w14:paraId="36344E66" w14:textId="77777777" w:rsidR="005B35E4" w:rsidRDefault="005B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6A7E" w14:textId="77777777" w:rsidR="00BC203A" w:rsidRDefault="005B35E4">
    <w:pPr>
      <w:pStyle w:val="a7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>PAGE   \* MERGEFORMAT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  <w:lang w:val="zh-CN"/>
      </w:rPr>
      <w:t>2</w:t>
    </w:r>
    <w:r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9F968" w14:textId="77777777" w:rsidR="005B35E4" w:rsidRDefault="005B35E4">
      <w:r>
        <w:separator/>
      </w:r>
    </w:p>
  </w:footnote>
  <w:footnote w:type="continuationSeparator" w:id="0">
    <w:p w14:paraId="6801E84E" w14:textId="77777777" w:rsidR="005B35E4" w:rsidRDefault="005B35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3AA" w14:textId="77777777" w:rsidR="00BC203A" w:rsidRDefault="00BC203A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26EE55A"/>
    <w:multiLevelType w:val="singleLevel"/>
    <w:tmpl w:val="A26EE55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49524E59"/>
    <w:multiLevelType w:val="singleLevel"/>
    <w:tmpl w:val="49524E59"/>
    <w:lvl w:ilvl="0">
      <w:start w:val="1"/>
      <w:numFmt w:val="chineseCounting"/>
      <w:lvlText w:val="第%1条"/>
      <w:lvlJc w:val="left"/>
      <w:pPr>
        <w:tabs>
          <w:tab w:val="left" w:pos="420"/>
        </w:tabs>
        <w:ind w:left="425" w:hanging="425"/>
      </w:pPr>
      <w:rPr>
        <w:rFonts w:eastAsia="仿宋_GB2312" w:hint="eastAsia"/>
        <w:sz w:val="3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D02"/>
    <w:rsid w:val="00005F26"/>
    <w:rsid w:val="00031368"/>
    <w:rsid w:val="00033253"/>
    <w:rsid w:val="0006254E"/>
    <w:rsid w:val="000C6B45"/>
    <w:rsid w:val="000E4D57"/>
    <w:rsid w:val="000E68AC"/>
    <w:rsid w:val="001070B9"/>
    <w:rsid w:val="0013542F"/>
    <w:rsid w:val="00147A65"/>
    <w:rsid w:val="00170D19"/>
    <w:rsid w:val="001803DD"/>
    <w:rsid w:val="001A6B20"/>
    <w:rsid w:val="001F59DD"/>
    <w:rsid w:val="00242E07"/>
    <w:rsid w:val="00256510"/>
    <w:rsid w:val="002700E8"/>
    <w:rsid w:val="00297F21"/>
    <w:rsid w:val="0031109B"/>
    <w:rsid w:val="00311FD3"/>
    <w:rsid w:val="003260FB"/>
    <w:rsid w:val="0037194A"/>
    <w:rsid w:val="00391CB6"/>
    <w:rsid w:val="003C6142"/>
    <w:rsid w:val="003D3FE8"/>
    <w:rsid w:val="003D704A"/>
    <w:rsid w:val="003E07E0"/>
    <w:rsid w:val="003E59E1"/>
    <w:rsid w:val="004129BA"/>
    <w:rsid w:val="004914FE"/>
    <w:rsid w:val="004A78FD"/>
    <w:rsid w:val="004C290E"/>
    <w:rsid w:val="004C33EF"/>
    <w:rsid w:val="004C41CC"/>
    <w:rsid w:val="004E370F"/>
    <w:rsid w:val="004F606F"/>
    <w:rsid w:val="00512CA7"/>
    <w:rsid w:val="00517CB9"/>
    <w:rsid w:val="00527B2F"/>
    <w:rsid w:val="00553EA3"/>
    <w:rsid w:val="0056084C"/>
    <w:rsid w:val="005616F9"/>
    <w:rsid w:val="00564056"/>
    <w:rsid w:val="00566A39"/>
    <w:rsid w:val="0059676D"/>
    <w:rsid w:val="005A0DF8"/>
    <w:rsid w:val="005B35E4"/>
    <w:rsid w:val="005C561E"/>
    <w:rsid w:val="005D37B8"/>
    <w:rsid w:val="005D79DE"/>
    <w:rsid w:val="005E2E81"/>
    <w:rsid w:val="005F6911"/>
    <w:rsid w:val="00617E70"/>
    <w:rsid w:val="006759AF"/>
    <w:rsid w:val="006A1ED3"/>
    <w:rsid w:val="006A61A4"/>
    <w:rsid w:val="006B6A91"/>
    <w:rsid w:val="006D51AB"/>
    <w:rsid w:val="006D6AA3"/>
    <w:rsid w:val="006E3427"/>
    <w:rsid w:val="006F5090"/>
    <w:rsid w:val="00755126"/>
    <w:rsid w:val="0076136E"/>
    <w:rsid w:val="0076573C"/>
    <w:rsid w:val="00780400"/>
    <w:rsid w:val="007D7CCD"/>
    <w:rsid w:val="007E27FB"/>
    <w:rsid w:val="007E3915"/>
    <w:rsid w:val="00843F84"/>
    <w:rsid w:val="008A0AB3"/>
    <w:rsid w:val="008A36A0"/>
    <w:rsid w:val="008F21D7"/>
    <w:rsid w:val="008F5BAF"/>
    <w:rsid w:val="00907388"/>
    <w:rsid w:val="00914AC2"/>
    <w:rsid w:val="0096198D"/>
    <w:rsid w:val="009A2729"/>
    <w:rsid w:val="009B43D9"/>
    <w:rsid w:val="009D096E"/>
    <w:rsid w:val="009E7EA7"/>
    <w:rsid w:val="009F1FD7"/>
    <w:rsid w:val="00A16794"/>
    <w:rsid w:val="00A26536"/>
    <w:rsid w:val="00A37440"/>
    <w:rsid w:val="00A56300"/>
    <w:rsid w:val="00A94B20"/>
    <w:rsid w:val="00AA5928"/>
    <w:rsid w:val="00AC0064"/>
    <w:rsid w:val="00AC44AC"/>
    <w:rsid w:val="00AF4126"/>
    <w:rsid w:val="00B15A87"/>
    <w:rsid w:val="00B4255B"/>
    <w:rsid w:val="00BC203A"/>
    <w:rsid w:val="00BE5915"/>
    <w:rsid w:val="00C16958"/>
    <w:rsid w:val="00C2795B"/>
    <w:rsid w:val="00C42196"/>
    <w:rsid w:val="00CB1967"/>
    <w:rsid w:val="00CB67B8"/>
    <w:rsid w:val="00CC3CD1"/>
    <w:rsid w:val="00CD0D6A"/>
    <w:rsid w:val="00D11B38"/>
    <w:rsid w:val="00D23B2D"/>
    <w:rsid w:val="00D51F2E"/>
    <w:rsid w:val="00D76B12"/>
    <w:rsid w:val="00D94D45"/>
    <w:rsid w:val="00DF1B3C"/>
    <w:rsid w:val="00E05921"/>
    <w:rsid w:val="00E10BB6"/>
    <w:rsid w:val="00E44956"/>
    <w:rsid w:val="00E83B2A"/>
    <w:rsid w:val="00EC5A42"/>
    <w:rsid w:val="00EE2B01"/>
    <w:rsid w:val="00EF01B9"/>
    <w:rsid w:val="00EF1576"/>
    <w:rsid w:val="00EF62EC"/>
    <w:rsid w:val="00F16A01"/>
    <w:rsid w:val="00F30500"/>
    <w:rsid w:val="00F35406"/>
    <w:rsid w:val="00F56390"/>
    <w:rsid w:val="00F60553"/>
    <w:rsid w:val="00F96624"/>
    <w:rsid w:val="00FA4E2A"/>
    <w:rsid w:val="00FC6D02"/>
    <w:rsid w:val="00FF1D3B"/>
    <w:rsid w:val="13F35332"/>
    <w:rsid w:val="149B17D8"/>
    <w:rsid w:val="14AD7789"/>
    <w:rsid w:val="150A3829"/>
    <w:rsid w:val="1D5F75D7"/>
    <w:rsid w:val="1F765CBF"/>
    <w:rsid w:val="20BC0E94"/>
    <w:rsid w:val="24EA6235"/>
    <w:rsid w:val="27827683"/>
    <w:rsid w:val="2CA11DD1"/>
    <w:rsid w:val="3B8C68D2"/>
    <w:rsid w:val="414F2D9E"/>
    <w:rsid w:val="42E32BC3"/>
    <w:rsid w:val="52584DF2"/>
    <w:rsid w:val="5B1021D5"/>
    <w:rsid w:val="65211559"/>
    <w:rsid w:val="655361D5"/>
    <w:rsid w:val="7231546C"/>
    <w:rsid w:val="72EC4DF8"/>
    <w:rsid w:val="74CC5E2A"/>
    <w:rsid w:val="7784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9B60125"/>
  <w15:docId w15:val="{BCF548E1-5070-4D17-939D-2A872F80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33"/>
    <customShpInfo spid="_x0000_s1032"/>
    <customShpInfo spid="_x0000_s1035"/>
    <customShpInfo spid="_x0000_s1036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高新壮</cp:lastModifiedBy>
  <cp:revision>4</cp:revision>
  <cp:lastPrinted>2021-05-26T07:15:00Z</cp:lastPrinted>
  <dcterms:created xsi:type="dcterms:W3CDTF">2021-05-26T08:47:00Z</dcterms:created>
  <dcterms:modified xsi:type="dcterms:W3CDTF">2021-05-26T08:47:00Z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315522884_btnclosed</vt:lpwstr>
  </property>
  <property fmtid="{D5CDD505-2E9C-101B-9397-08002B2CF9AE}" pid="3" name="KSOProductBuildVer">
    <vt:lpwstr>2052-11.1.0.10495</vt:lpwstr>
  </property>
  <property fmtid="{D5CDD505-2E9C-101B-9397-08002B2CF9AE}" pid="4" name="ICV">
    <vt:lpwstr>D8A1950D433A435CB06367FD352D8D46</vt:lpwstr>
  </property>
</Properties>
</file>